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0"/>
        <w:gridCol w:w="1905"/>
        <w:gridCol w:w="1792"/>
        <w:gridCol w:w="1701"/>
        <w:gridCol w:w="1985"/>
        <w:gridCol w:w="1525"/>
      </w:tblGrid>
      <w:tr w:rsidR="00796C74" w:rsidTr="00D406B9">
        <w:trPr>
          <w:trHeight w:hRule="exact" w:val="397"/>
        </w:trPr>
        <w:tc>
          <w:tcPr>
            <w:tcW w:w="9288" w:type="dxa"/>
            <w:gridSpan w:val="6"/>
            <w:shd w:val="clear" w:color="auto" w:fill="BFBFBF" w:themeFill="background1" w:themeFillShade="BF"/>
            <w:vAlign w:val="center"/>
          </w:tcPr>
          <w:p w:rsidR="00796C74" w:rsidRPr="00E00860" w:rsidRDefault="00796C74" w:rsidP="007C5BC9">
            <w:pPr>
              <w:jc w:val="both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E00860">
              <w:rPr>
                <w:rFonts w:ascii="Arial" w:hAnsi="Arial" w:cs="Arial"/>
                <w:b/>
                <w:sz w:val="20"/>
              </w:rPr>
              <w:t>B. PROJEKT</w:t>
            </w:r>
          </w:p>
        </w:tc>
      </w:tr>
      <w:tr w:rsidR="00796C74" w:rsidTr="00D406B9">
        <w:trPr>
          <w:trHeight w:hRule="exact" w:val="397"/>
        </w:trPr>
        <w:tc>
          <w:tcPr>
            <w:tcW w:w="9288" w:type="dxa"/>
            <w:gridSpan w:val="6"/>
            <w:shd w:val="clear" w:color="auto" w:fill="C9C9C9" w:themeFill="accent3" w:themeFillTint="99"/>
            <w:vAlign w:val="center"/>
          </w:tcPr>
          <w:p w:rsidR="00796C74" w:rsidRPr="00C737E7" w:rsidRDefault="00796C74" w:rsidP="00D406B9">
            <w:pPr>
              <w:rPr>
                <w:rFonts w:ascii="Arial" w:hAnsi="Arial" w:cs="Arial"/>
                <w:b/>
                <w:sz w:val="20"/>
              </w:rPr>
            </w:pPr>
            <w:r w:rsidRPr="00C737E7">
              <w:rPr>
                <w:rFonts w:ascii="Arial" w:hAnsi="Arial" w:cs="Arial"/>
                <w:b/>
                <w:sz w:val="20"/>
              </w:rPr>
              <w:t>1. Názov projektu</w:t>
            </w:r>
          </w:p>
        </w:tc>
      </w:tr>
      <w:tr w:rsidR="00796C74" w:rsidTr="00D406B9">
        <w:trPr>
          <w:trHeight w:val="397"/>
        </w:trPr>
        <w:tc>
          <w:tcPr>
            <w:tcW w:w="9288" w:type="dxa"/>
            <w:gridSpan w:val="6"/>
            <w:vAlign w:val="center"/>
          </w:tcPr>
          <w:p w:rsidR="00796C74" w:rsidRPr="00656A94" w:rsidRDefault="00796C74" w:rsidP="00D406B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56A94">
              <w:rPr>
                <w:rFonts w:ascii="Arial" w:hAnsi="Arial" w:cs="Arial"/>
                <w:b/>
                <w:sz w:val="20"/>
              </w:rPr>
              <w:t>Obnova lesných porastov – spoločenstvo Vyšná Boca</w:t>
            </w:r>
          </w:p>
        </w:tc>
      </w:tr>
      <w:tr w:rsidR="00796C74" w:rsidTr="00D406B9">
        <w:trPr>
          <w:trHeight w:hRule="exact" w:val="397"/>
        </w:trPr>
        <w:tc>
          <w:tcPr>
            <w:tcW w:w="9288" w:type="dxa"/>
            <w:gridSpan w:val="6"/>
            <w:shd w:val="clear" w:color="auto" w:fill="C9C9C9" w:themeFill="accent3" w:themeFillTint="99"/>
            <w:vAlign w:val="center"/>
          </w:tcPr>
          <w:p w:rsidR="00796C74" w:rsidRPr="00C737E7" w:rsidRDefault="00796C74" w:rsidP="00D406B9">
            <w:pPr>
              <w:rPr>
                <w:rFonts w:ascii="Arial" w:hAnsi="Arial" w:cs="Arial"/>
                <w:b/>
                <w:sz w:val="20"/>
              </w:rPr>
            </w:pPr>
            <w:r w:rsidRPr="00C737E7">
              <w:rPr>
                <w:rFonts w:ascii="Arial" w:hAnsi="Arial" w:cs="Arial"/>
                <w:b/>
                <w:sz w:val="20"/>
              </w:rPr>
              <w:t>2. Priradenie projektu k programovej štruktúre</w:t>
            </w:r>
          </w:p>
        </w:tc>
      </w:tr>
      <w:tr w:rsidR="00796C74" w:rsidTr="00D406B9">
        <w:trPr>
          <w:trHeight w:val="397"/>
        </w:trPr>
        <w:tc>
          <w:tcPr>
            <w:tcW w:w="2285" w:type="dxa"/>
            <w:gridSpan w:val="2"/>
            <w:shd w:val="clear" w:color="auto" w:fill="auto"/>
            <w:vAlign w:val="center"/>
          </w:tcPr>
          <w:p w:rsidR="00796C74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Názov programu</w:t>
            </w:r>
          </w:p>
        </w:tc>
        <w:tc>
          <w:tcPr>
            <w:tcW w:w="7003" w:type="dxa"/>
            <w:gridSpan w:val="4"/>
            <w:shd w:val="clear" w:color="auto" w:fill="auto"/>
            <w:vAlign w:val="center"/>
          </w:tcPr>
          <w:p w:rsidR="00796C74" w:rsidRPr="00963059" w:rsidRDefault="00796C74" w:rsidP="00D406B9">
            <w:pPr>
              <w:rPr>
                <w:rFonts w:ascii="Arial" w:hAnsi="Arial" w:cs="Arial"/>
                <w:sz w:val="20"/>
              </w:rPr>
            </w:pPr>
            <w:r w:rsidRPr="00963059">
              <w:rPr>
                <w:rFonts w:ascii="Arial" w:eastAsia="TimesNewRomanPSMT" w:hAnsi="Arial" w:cs="Arial"/>
                <w:sz w:val="20"/>
                <w:szCs w:val="24"/>
              </w:rPr>
              <w:t>Program rozvoja vidieka SR 2014 – 2020</w:t>
            </w:r>
          </w:p>
        </w:tc>
      </w:tr>
      <w:tr w:rsidR="00796C74" w:rsidTr="00D406B9">
        <w:trPr>
          <w:trHeight w:val="397"/>
        </w:trPr>
        <w:tc>
          <w:tcPr>
            <w:tcW w:w="2285" w:type="dxa"/>
            <w:gridSpan w:val="2"/>
            <w:shd w:val="clear" w:color="auto" w:fill="auto"/>
            <w:vAlign w:val="center"/>
          </w:tcPr>
          <w:p w:rsidR="00796C74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Číslo opatrenia</w:t>
            </w:r>
          </w:p>
        </w:tc>
        <w:tc>
          <w:tcPr>
            <w:tcW w:w="7003" w:type="dxa"/>
            <w:gridSpan w:val="4"/>
            <w:shd w:val="clear" w:color="auto" w:fill="auto"/>
            <w:vAlign w:val="center"/>
          </w:tcPr>
          <w:p w:rsidR="00796C74" w:rsidRPr="00F679FD" w:rsidRDefault="00796C74" w:rsidP="00D406B9">
            <w:pPr>
              <w:rPr>
                <w:rFonts w:ascii="Arial" w:eastAsia="TimesNewRomanPSMT" w:hAnsi="Arial" w:cs="Arial"/>
                <w:sz w:val="20"/>
                <w:szCs w:val="24"/>
              </w:rPr>
            </w:pPr>
            <w:r w:rsidRPr="00F679FD">
              <w:rPr>
                <w:rFonts w:ascii="Arial" w:eastAsia="TimesNewRomanPSMT" w:hAnsi="Arial" w:cs="Arial"/>
                <w:sz w:val="20"/>
                <w:szCs w:val="24"/>
              </w:rPr>
              <w:t>8</w:t>
            </w:r>
          </w:p>
        </w:tc>
      </w:tr>
      <w:tr w:rsidR="00796C74" w:rsidTr="00D406B9">
        <w:trPr>
          <w:trHeight w:val="397"/>
        </w:trPr>
        <w:tc>
          <w:tcPr>
            <w:tcW w:w="2285" w:type="dxa"/>
            <w:gridSpan w:val="2"/>
            <w:shd w:val="clear" w:color="auto" w:fill="auto"/>
            <w:vAlign w:val="center"/>
          </w:tcPr>
          <w:p w:rsidR="00796C74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Názov opatrenia</w:t>
            </w:r>
          </w:p>
        </w:tc>
        <w:tc>
          <w:tcPr>
            <w:tcW w:w="7003" w:type="dxa"/>
            <w:gridSpan w:val="4"/>
            <w:shd w:val="clear" w:color="auto" w:fill="auto"/>
            <w:vAlign w:val="center"/>
          </w:tcPr>
          <w:p w:rsidR="00796C74" w:rsidRPr="00F679FD" w:rsidRDefault="00796C74" w:rsidP="00D406B9">
            <w:pPr>
              <w:jc w:val="both"/>
              <w:rPr>
                <w:rFonts w:ascii="Arial" w:eastAsia="TimesNewRomanPSMT" w:hAnsi="Arial" w:cs="Arial"/>
                <w:sz w:val="20"/>
                <w:szCs w:val="24"/>
              </w:rPr>
            </w:pPr>
            <w:r w:rsidRPr="00F679FD">
              <w:rPr>
                <w:rFonts w:ascii="Arial" w:eastAsia="TimesNewRomanPSMT" w:hAnsi="Arial" w:cs="Arial"/>
                <w:sz w:val="20"/>
                <w:szCs w:val="24"/>
              </w:rPr>
              <w:t>Investície do rozvoja lesných oblasti a zlep</w:t>
            </w:r>
            <w:r w:rsidRPr="00F679FD">
              <w:rPr>
                <w:rFonts w:ascii="Arial" w:eastAsia="TimesNewRomanPSMT" w:hAnsi="Arial" w:cs="Arial" w:hint="eastAsia"/>
                <w:sz w:val="20"/>
                <w:szCs w:val="24"/>
              </w:rPr>
              <w:t>š</w:t>
            </w:r>
            <w:r w:rsidRPr="00F679FD">
              <w:rPr>
                <w:rFonts w:ascii="Arial" w:eastAsia="TimesNewRomanPSMT" w:hAnsi="Arial" w:cs="Arial"/>
                <w:sz w:val="20"/>
                <w:szCs w:val="24"/>
              </w:rPr>
              <w:t xml:space="preserve">enia </w:t>
            </w:r>
            <w:r w:rsidRPr="00F679FD">
              <w:rPr>
                <w:rFonts w:ascii="Arial" w:eastAsia="TimesNewRomanPSMT" w:hAnsi="Arial" w:cs="Arial" w:hint="eastAsia"/>
                <w:sz w:val="20"/>
                <w:szCs w:val="24"/>
              </w:rPr>
              <w:t>ž</w:t>
            </w:r>
            <w:r w:rsidRPr="00F679FD">
              <w:rPr>
                <w:rFonts w:ascii="Arial" w:eastAsia="TimesNewRomanPSMT" w:hAnsi="Arial" w:cs="Arial"/>
                <w:sz w:val="20"/>
                <w:szCs w:val="24"/>
              </w:rPr>
              <w:t>ivotaschopnosti lesov</w:t>
            </w:r>
          </w:p>
        </w:tc>
      </w:tr>
      <w:tr w:rsidR="00796C74" w:rsidTr="00D406B9">
        <w:trPr>
          <w:trHeight w:val="397"/>
        </w:trPr>
        <w:tc>
          <w:tcPr>
            <w:tcW w:w="2285" w:type="dxa"/>
            <w:gridSpan w:val="2"/>
            <w:shd w:val="clear" w:color="auto" w:fill="auto"/>
            <w:vAlign w:val="center"/>
          </w:tcPr>
          <w:p w:rsidR="00796C74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Podopatrenie</w:t>
            </w:r>
          </w:p>
        </w:tc>
        <w:tc>
          <w:tcPr>
            <w:tcW w:w="7003" w:type="dxa"/>
            <w:gridSpan w:val="4"/>
            <w:shd w:val="clear" w:color="auto" w:fill="auto"/>
            <w:vAlign w:val="center"/>
          </w:tcPr>
          <w:p w:rsidR="00796C74" w:rsidRPr="00963059" w:rsidRDefault="00796C74" w:rsidP="00D406B9">
            <w:pPr>
              <w:jc w:val="both"/>
              <w:rPr>
                <w:rFonts w:ascii="Arial" w:eastAsia="TimesNewRomanPSMT" w:hAnsi="Arial" w:cs="Arial"/>
                <w:sz w:val="20"/>
                <w:szCs w:val="24"/>
              </w:rPr>
            </w:pPr>
            <w:r>
              <w:rPr>
                <w:rFonts w:ascii="Arial" w:eastAsia="TimesNewRomanPSMT" w:hAnsi="Arial" w:cs="Arial"/>
                <w:sz w:val="20"/>
                <w:szCs w:val="24"/>
              </w:rPr>
              <w:t xml:space="preserve">8.4 – </w:t>
            </w:r>
            <w:r w:rsidRPr="002A74C7">
              <w:rPr>
                <w:rFonts w:ascii="Arial" w:eastAsia="TimesNewRomanPSMT" w:hAnsi="Arial" w:cs="Arial"/>
                <w:sz w:val="20"/>
                <w:szCs w:val="24"/>
              </w:rPr>
              <w:t>Podpora na obnovu lesov poškodených lesnými po</w:t>
            </w:r>
            <w:r w:rsidRPr="002A74C7">
              <w:rPr>
                <w:rFonts w:ascii="Arial" w:eastAsia="TimesNewRomanPSMT" w:hAnsi="Arial" w:cs="Arial" w:hint="eastAsia"/>
                <w:sz w:val="20"/>
                <w:szCs w:val="24"/>
              </w:rPr>
              <w:t>ž</w:t>
            </w:r>
            <w:r w:rsidRPr="002A74C7">
              <w:rPr>
                <w:rFonts w:ascii="Arial" w:eastAsia="TimesNewRomanPSMT" w:hAnsi="Arial" w:cs="Arial"/>
                <w:sz w:val="20"/>
                <w:szCs w:val="24"/>
              </w:rPr>
              <w:t>iarmi a prírodnými katastrofami a katastrofickými udalos</w:t>
            </w:r>
            <w:r w:rsidRPr="002A74C7">
              <w:rPr>
                <w:rFonts w:ascii="Arial" w:eastAsia="TimesNewRomanPSMT" w:hAnsi="Arial" w:cs="Arial" w:hint="eastAsia"/>
                <w:sz w:val="20"/>
                <w:szCs w:val="24"/>
              </w:rPr>
              <w:t>ť</w:t>
            </w:r>
            <w:r w:rsidRPr="002A74C7">
              <w:rPr>
                <w:rFonts w:ascii="Arial" w:eastAsia="TimesNewRomanPSMT" w:hAnsi="Arial" w:cs="Arial"/>
                <w:sz w:val="20"/>
                <w:szCs w:val="24"/>
              </w:rPr>
              <w:t>ami</w:t>
            </w:r>
          </w:p>
        </w:tc>
      </w:tr>
      <w:tr w:rsidR="00796C74" w:rsidTr="00D406B9">
        <w:trPr>
          <w:trHeight w:val="397"/>
        </w:trPr>
        <w:tc>
          <w:tcPr>
            <w:tcW w:w="2285" w:type="dxa"/>
            <w:gridSpan w:val="2"/>
            <w:shd w:val="clear" w:color="auto" w:fill="auto"/>
            <w:vAlign w:val="center"/>
          </w:tcPr>
          <w:p w:rsidR="00796C74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Fokusová oblasť</w:t>
            </w:r>
          </w:p>
        </w:tc>
        <w:tc>
          <w:tcPr>
            <w:tcW w:w="7003" w:type="dxa"/>
            <w:gridSpan w:val="4"/>
            <w:shd w:val="clear" w:color="auto" w:fill="auto"/>
            <w:vAlign w:val="center"/>
          </w:tcPr>
          <w:p w:rsidR="00796C74" w:rsidRPr="007F2906" w:rsidRDefault="00796C74" w:rsidP="00D406B9">
            <w:pPr>
              <w:jc w:val="both"/>
              <w:rPr>
                <w:rFonts w:ascii="Arial" w:eastAsia="TimesNewRomanPSMT" w:hAnsi="Arial" w:cs="Arial"/>
                <w:sz w:val="20"/>
                <w:szCs w:val="24"/>
              </w:rPr>
            </w:pPr>
            <w:r>
              <w:rPr>
                <w:rFonts w:ascii="Arial" w:eastAsia="TimesNewRomanPSMT" w:hAnsi="Arial" w:cs="Arial"/>
                <w:sz w:val="20"/>
                <w:szCs w:val="24"/>
              </w:rPr>
              <w:t xml:space="preserve">4 – </w:t>
            </w:r>
            <w:r w:rsidRPr="001E2C75">
              <w:rPr>
                <w:rFonts w:ascii="Arial" w:eastAsia="TimesNewRomanPSMT" w:hAnsi="Arial" w:cs="Arial"/>
                <w:sz w:val="20"/>
                <w:szCs w:val="24"/>
              </w:rPr>
              <w:t>Obnova, zachovanie a posilnenie ekosystémov, ktoré súvisia s poľnohospodárstvom a lesným hospodárstvom</w:t>
            </w:r>
          </w:p>
        </w:tc>
      </w:tr>
      <w:tr w:rsidR="00796C74" w:rsidTr="00D406B9">
        <w:trPr>
          <w:trHeight w:val="397"/>
        </w:trPr>
        <w:tc>
          <w:tcPr>
            <w:tcW w:w="2285" w:type="dxa"/>
            <w:gridSpan w:val="2"/>
            <w:shd w:val="clear" w:color="auto" w:fill="auto"/>
            <w:vAlign w:val="center"/>
          </w:tcPr>
          <w:p w:rsidR="00796C74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Názov schémy štátnej pomoci</w:t>
            </w:r>
          </w:p>
        </w:tc>
        <w:tc>
          <w:tcPr>
            <w:tcW w:w="7003" w:type="dxa"/>
            <w:gridSpan w:val="4"/>
            <w:shd w:val="clear" w:color="auto" w:fill="auto"/>
            <w:vAlign w:val="center"/>
          </w:tcPr>
          <w:p w:rsidR="00796C74" w:rsidRPr="002A74C7" w:rsidRDefault="00796C74" w:rsidP="00D406B9">
            <w:pPr>
              <w:jc w:val="both"/>
              <w:rPr>
                <w:rFonts w:ascii="Arial" w:eastAsia="TimesNewRomanPSMT" w:hAnsi="Arial" w:cs="Arial"/>
                <w:sz w:val="20"/>
                <w:szCs w:val="24"/>
              </w:rPr>
            </w:pPr>
            <w:r w:rsidRPr="002A74C7">
              <w:rPr>
                <w:rFonts w:ascii="Arial" w:eastAsia="TimesNewRomanPSMT" w:hAnsi="Arial" w:cs="Arial"/>
                <w:sz w:val="20"/>
                <w:szCs w:val="24"/>
              </w:rPr>
              <w:t>Schéma štátnej pomoci na podporu obnovy lesov poškodených lesnými požiarmi a prírodnými katastrofami a katastrofickými udalosťami</w:t>
            </w:r>
          </w:p>
        </w:tc>
      </w:tr>
      <w:tr w:rsidR="00796C74" w:rsidTr="00D406B9">
        <w:trPr>
          <w:trHeight w:val="397"/>
        </w:trPr>
        <w:tc>
          <w:tcPr>
            <w:tcW w:w="2285" w:type="dxa"/>
            <w:gridSpan w:val="2"/>
            <w:shd w:val="clear" w:color="auto" w:fill="auto"/>
            <w:vAlign w:val="center"/>
          </w:tcPr>
          <w:p w:rsidR="00796C74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Číslo schémy pomoci</w:t>
            </w:r>
          </w:p>
        </w:tc>
        <w:tc>
          <w:tcPr>
            <w:tcW w:w="7003" w:type="dxa"/>
            <w:gridSpan w:val="4"/>
            <w:shd w:val="clear" w:color="auto" w:fill="auto"/>
            <w:vAlign w:val="center"/>
          </w:tcPr>
          <w:p w:rsidR="00796C74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SA.42026 (2015/XA)</w:t>
            </w:r>
          </w:p>
        </w:tc>
      </w:tr>
      <w:tr w:rsidR="00796C74" w:rsidTr="00D406B9">
        <w:trPr>
          <w:trHeight w:val="397"/>
        </w:trPr>
        <w:tc>
          <w:tcPr>
            <w:tcW w:w="9288" w:type="dxa"/>
            <w:gridSpan w:val="6"/>
            <w:shd w:val="clear" w:color="auto" w:fill="C9C9C9" w:themeFill="accent3" w:themeFillTint="99"/>
            <w:vAlign w:val="center"/>
          </w:tcPr>
          <w:p w:rsidR="00796C74" w:rsidRPr="00C737E7" w:rsidRDefault="00796C74" w:rsidP="00D406B9">
            <w:pPr>
              <w:rPr>
                <w:rFonts w:ascii="Arial" w:hAnsi="Arial" w:cs="Arial"/>
                <w:b/>
                <w:sz w:val="20"/>
              </w:rPr>
            </w:pPr>
            <w:r w:rsidRPr="00C737E7">
              <w:rPr>
                <w:rFonts w:ascii="Arial" w:hAnsi="Arial" w:cs="Arial"/>
                <w:b/>
                <w:sz w:val="20"/>
              </w:rPr>
              <w:t>3. Časový predpoklad realizácie projektu</w:t>
            </w:r>
          </w:p>
        </w:tc>
      </w:tr>
      <w:tr w:rsidR="00796C74" w:rsidTr="00D406B9">
        <w:trPr>
          <w:trHeight w:val="397"/>
        </w:trPr>
        <w:tc>
          <w:tcPr>
            <w:tcW w:w="5778" w:type="dxa"/>
            <w:gridSpan w:val="4"/>
            <w:shd w:val="clear" w:color="auto" w:fill="auto"/>
            <w:vAlign w:val="center"/>
          </w:tcPr>
          <w:p w:rsidR="00796C74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Predpokladaný začiatok realizácie projektu</w:t>
            </w:r>
          </w:p>
        </w:tc>
        <w:sdt>
          <w:sdtPr>
            <w:rPr>
              <w:rFonts w:ascii="Arial" w:hAnsi="Arial" w:cs="Arial"/>
              <w:sz w:val="20"/>
            </w:rPr>
            <w:id w:val="1781522814"/>
            <w:date w:fullDate="2015-10-15T00:00:00Z"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3510" w:type="dxa"/>
                <w:gridSpan w:val="2"/>
                <w:shd w:val="clear" w:color="auto" w:fill="auto"/>
                <w:vAlign w:val="center"/>
              </w:tcPr>
              <w:p w:rsidR="00796C74" w:rsidRDefault="00796C74" w:rsidP="00D406B9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15. 10. 2015</w:t>
                </w:r>
              </w:p>
            </w:tc>
          </w:sdtContent>
        </w:sdt>
      </w:tr>
      <w:tr w:rsidR="00796C74" w:rsidTr="00D406B9">
        <w:trPr>
          <w:trHeight w:val="397"/>
        </w:trPr>
        <w:tc>
          <w:tcPr>
            <w:tcW w:w="5778" w:type="dxa"/>
            <w:gridSpan w:val="4"/>
            <w:shd w:val="clear" w:color="auto" w:fill="auto"/>
            <w:vAlign w:val="center"/>
          </w:tcPr>
          <w:p w:rsidR="00796C74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Predpokladané ukončenie realizácie projektu</w:t>
            </w:r>
          </w:p>
        </w:tc>
        <w:sdt>
          <w:sdtPr>
            <w:rPr>
              <w:rFonts w:ascii="Arial" w:hAnsi="Arial" w:cs="Arial"/>
              <w:sz w:val="20"/>
            </w:rPr>
            <w:id w:val="-448774642"/>
            <w:date w:fullDate="2018-11-30T00:00:00Z"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3510" w:type="dxa"/>
                <w:gridSpan w:val="2"/>
                <w:shd w:val="clear" w:color="auto" w:fill="auto"/>
                <w:vAlign w:val="center"/>
              </w:tcPr>
              <w:p w:rsidR="00796C74" w:rsidRDefault="00796C74" w:rsidP="00D406B9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30. 11. 2018</w:t>
                </w:r>
              </w:p>
            </w:tc>
          </w:sdtContent>
        </w:sdt>
      </w:tr>
      <w:tr w:rsidR="00796C74" w:rsidTr="00D406B9">
        <w:trPr>
          <w:trHeight w:val="397"/>
        </w:trPr>
        <w:tc>
          <w:tcPr>
            <w:tcW w:w="9288" w:type="dxa"/>
            <w:gridSpan w:val="6"/>
            <w:shd w:val="clear" w:color="auto" w:fill="C9C9C9" w:themeFill="accent3" w:themeFillTint="99"/>
            <w:vAlign w:val="center"/>
          </w:tcPr>
          <w:p w:rsidR="00796C74" w:rsidRPr="00C737E7" w:rsidRDefault="00796C74" w:rsidP="00796C74">
            <w:pPr>
              <w:rPr>
                <w:rFonts w:ascii="Arial" w:hAnsi="Arial" w:cs="Arial"/>
                <w:b/>
                <w:sz w:val="20"/>
              </w:rPr>
            </w:pPr>
            <w:r w:rsidRPr="00C737E7">
              <w:rPr>
                <w:rFonts w:ascii="Arial" w:hAnsi="Arial" w:cs="Arial"/>
                <w:b/>
                <w:sz w:val="20"/>
              </w:rPr>
              <w:t>4. Miesto realizácie projektu</w:t>
            </w:r>
          </w:p>
        </w:tc>
      </w:tr>
      <w:tr w:rsidR="00796C74" w:rsidTr="00D406B9">
        <w:trPr>
          <w:trHeight w:val="397"/>
        </w:trPr>
        <w:tc>
          <w:tcPr>
            <w:tcW w:w="2285" w:type="dxa"/>
            <w:gridSpan w:val="2"/>
            <w:shd w:val="clear" w:color="auto" w:fill="auto"/>
            <w:vAlign w:val="center"/>
          </w:tcPr>
          <w:p w:rsidR="00796C74" w:rsidRDefault="00796C74" w:rsidP="00D406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VÚC (kraj)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96C74" w:rsidRDefault="00796C74" w:rsidP="00D406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C74" w:rsidRDefault="00796C74" w:rsidP="00D406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Obec (ulica)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6C74" w:rsidRDefault="00796C74" w:rsidP="00D406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Katastrálne územie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96C74" w:rsidRDefault="00796C74" w:rsidP="00D406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Parcelné čísla</w:t>
            </w:r>
          </w:p>
        </w:tc>
      </w:tr>
      <w:tr w:rsidR="00796C74" w:rsidTr="00D406B9">
        <w:trPr>
          <w:trHeight w:val="397"/>
        </w:trPr>
        <w:tc>
          <w:tcPr>
            <w:tcW w:w="380" w:type="dxa"/>
            <w:shd w:val="clear" w:color="auto" w:fill="auto"/>
            <w:vAlign w:val="center"/>
          </w:tcPr>
          <w:p w:rsidR="00796C74" w:rsidRDefault="00796C74" w:rsidP="00D406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796C74" w:rsidRPr="00870252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Žilinský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96C74" w:rsidRPr="00870252" w:rsidRDefault="00796C74" w:rsidP="00D406B9">
            <w:pPr>
              <w:rPr>
                <w:rFonts w:ascii="Arial" w:hAnsi="Arial" w:cs="Arial"/>
                <w:noProof/>
                <w:sz w:val="20"/>
                <w:lang w:eastAsia="cs-CZ"/>
              </w:rPr>
            </w:pPr>
            <w:r>
              <w:rPr>
                <w:rFonts w:ascii="Arial" w:hAnsi="Arial" w:cs="Arial"/>
                <w:noProof/>
                <w:sz w:val="20"/>
                <w:lang w:eastAsia="cs-CZ"/>
              </w:rPr>
              <w:t>Liptovský Mikuláš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C74" w:rsidRPr="00870252" w:rsidRDefault="00796C74" w:rsidP="00D406B9">
            <w:pPr>
              <w:rPr>
                <w:rFonts w:ascii="Arial" w:hAnsi="Arial" w:cs="Arial"/>
                <w:noProof/>
                <w:sz w:val="20"/>
                <w:lang w:eastAsia="cs-CZ"/>
              </w:rPr>
            </w:pPr>
            <w:r>
              <w:rPr>
                <w:rFonts w:ascii="Arial" w:hAnsi="Arial" w:cs="Arial"/>
                <w:noProof/>
                <w:sz w:val="20"/>
                <w:lang w:eastAsia="cs-CZ"/>
              </w:rPr>
              <w:t>Vyšná Boca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6C74" w:rsidRPr="00870252" w:rsidRDefault="00796C74" w:rsidP="00D406B9">
            <w:pPr>
              <w:rPr>
                <w:rFonts w:ascii="Arial" w:hAnsi="Arial" w:cs="Arial"/>
                <w:noProof/>
                <w:sz w:val="20"/>
                <w:lang w:eastAsia="cs-CZ"/>
              </w:rPr>
            </w:pPr>
            <w:r>
              <w:rPr>
                <w:rFonts w:ascii="Arial" w:hAnsi="Arial" w:cs="Arial"/>
                <w:noProof/>
                <w:sz w:val="20"/>
                <w:lang w:eastAsia="cs-CZ"/>
              </w:rPr>
              <w:t>Vyšná Boca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96C74" w:rsidRPr="00870252" w:rsidRDefault="00796C74" w:rsidP="00D406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CA25AD" w:rsidRPr="00796C74" w:rsidRDefault="00CA25AD">
      <w:pPr>
        <w:rPr>
          <w:sz w:val="10"/>
        </w:rPr>
      </w:pPr>
    </w:p>
    <w:p w:rsidR="00796C74" w:rsidRPr="00796C74" w:rsidRDefault="00796C74">
      <w:pPr>
        <w:rPr>
          <w:rFonts w:ascii="Arial" w:hAnsi="Arial" w:cs="Arial"/>
          <w:sz w:val="20"/>
          <w:szCs w:val="20"/>
        </w:rPr>
      </w:pPr>
      <w:r w:rsidRPr="00796C74">
        <w:rPr>
          <w:rFonts w:ascii="Arial" w:hAnsi="Arial" w:cs="Arial"/>
          <w:sz w:val="20"/>
          <w:szCs w:val="20"/>
        </w:rPr>
        <w:t>Ciele projektu:</w:t>
      </w:r>
    </w:p>
    <w:p w:rsidR="00796C74" w:rsidRPr="00796C74" w:rsidRDefault="00796C74" w:rsidP="00796C74">
      <w:pPr>
        <w:jc w:val="both"/>
        <w:rPr>
          <w:rFonts w:ascii="Arial" w:hAnsi="Arial" w:cs="Arial"/>
          <w:sz w:val="20"/>
          <w:szCs w:val="20"/>
        </w:rPr>
      </w:pPr>
      <w:r w:rsidRPr="00796C74">
        <w:rPr>
          <w:rFonts w:ascii="Arial" w:hAnsi="Arial" w:cs="Arial"/>
          <w:sz w:val="20"/>
          <w:szCs w:val="20"/>
        </w:rPr>
        <w:t xml:space="preserve">Cieľom projektu je </w:t>
      </w:r>
      <w:r w:rsidRPr="00796C74">
        <w:rPr>
          <w:rFonts w:ascii="Arial" w:hAnsi="Arial" w:cs="Arial"/>
          <w:b/>
          <w:sz w:val="20"/>
          <w:szCs w:val="20"/>
        </w:rPr>
        <w:t>zlepšenie životaschopnosti lesov a obnova produkčného potenciálu v lesoch poškodených komplexom škodlivých činiteľov a to realizáciou preventívnych  a ochranných opatrení pri zalesňovaní porastov vhodnými drevinami, výchove a ošetrovaní porastov na lesných pozemkoch</w:t>
      </w:r>
      <w:r w:rsidRPr="00796C74">
        <w:rPr>
          <w:rFonts w:ascii="Arial" w:hAnsi="Arial" w:cs="Arial"/>
          <w:sz w:val="20"/>
          <w:szCs w:val="20"/>
        </w:rPr>
        <w:t xml:space="preserve"> vo vlastníctve Spolku bývalých urbárnikov pozemkové spoločenstvo Vyšná Boca, ktoré sa nachádzajú v závere Bockej doliny pod hlavným hrebeňom Nízkych Tatier.</w:t>
      </w:r>
    </w:p>
    <w:p w:rsidR="00796C74" w:rsidRPr="00B20519" w:rsidRDefault="00796C74" w:rsidP="00796C74">
      <w:pPr>
        <w:spacing w:after="0"/>
        <w:ind w:firstLine="339"/>
        <w:jc w:val="both"/>
        <w:rPr>
          <w:rFonts w:ascii="Arial" w:hAnsi="Arial" w:cs="Arial"/>
          <w:sz w:val="20"/>
          <w:szCs w:val="20"/>
        </w:rPr>
      </w:pPr>
      <w:r w:rsidRPr="00B20519">
        <w:rPr>
          <w:rFonts w:ascii="Arial" w:hAnsi="Arial" w:cs="Arial"/>
          <w:sz w:val="20"/>
          <w:szCs w:val="20"/>
        </w:rPr>
        <w:t>Konkrétnym zámerom pri napĺňaní hlavného cieľa je:</w:t>
      </w:r>
    </w:p>
    <w:p w:rsidR="00796C74" w:rsidRPr="00B20519" w:rsidRDefault="00796C74" w:rsidP="00796C7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0519">
        <w:rPr>
          <w:rFonts w:ascii="Arial" w:hAnsi="Arial" w:cs="Arial"/>
          <w:noProof/>
          <w:sz w:val="20"/>
          <w:szCs w:val="20"/>
        </w:rPr>
        <w:t xml:space="preserve">posilňovanie biodiverzity a ekologickej stability lesov a zlepšovanie jeho verejno-prospešných funkcií; </w:t>
      </w:r>
      <w:r w:rsidRPr="00B20519">
        <w:rPr>
          <w:rFonts w:ascii="Arial" w:hAnsi="Arial" w:cs="Arial"/>
          <w:sz w:val="20"/>
          <w:szCs w:val="20"/>
          <w:lang w:eastAsia="cs-CZ"/>
        </w:rPr>
        <w:t>udržanie resp. zvýšenie priaznivého stavu lesov preventívnymi a ochrannými opatreniami</w:t>
      </w:r>
    </w:p>
    <w:p w:rsidR="00796C74" w:rsidRPr="00B20519" w:rsidRDefault="00796C74" w:rsidP="00796C7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0519">
        <w:rPr>
          <w:rFonts w:ascii="Arial" w:hAnsi="Arial" w:cs="Arial"/>
          <w:sz w:val="20"/>
          <w:szCs w:val="20"/>
        </w:rPr>
        <w:t>znižovanie rizika pôdnej erózie;</w:t>
      </w:r>
    </w:p>
    <w:p w:rsidR="00796C74" w:rsidRPr="00B20519" w:rsidRDefault="00796C74" w:rsidP="00796C7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0519">
        <w:rPr>
          <w:rFonts w:ascii="Arial" w:hAnsi="Arial" w:cs="Arial"/>
          <w:sz w:val="20"/>
          <w:szCs w:val="20"/>
        </w:rPr>
        <w:t>zvyšovanie absorpčného potenciálu pôdy v lesoch a posilnenia vodohospodárskej funkcie lesov, ako aj ostatných ekologických a environmentálnych funkcií lesov.</w:t>
      </w:r>
    </w:p>
    <w:p w:rsidR="00796C74" w:rsidRPr="00796C74" w:rsidRDefault="00796C74" w:rsidP="00796C74">
      <w:pPr>
        <w:jc w:val="both"/>
        <w:rPr>
          <w:rFonts w:ascii="Arial" w:hAnsi="Arial" w:cs="Arial"/>
          <w:sz w:val="2"/>
          <w:szCs w:val="20"/>
        </w:rPr>
      </w:pPr>
    </w:p>
    <w:p w:rsidR="00796C74" w:rsidRDefault="00796C74" w:rsidP="00796C74">
      <w:pPr>
        <w:jc w:val="both"/>
        <w:rPr>
          <w:rFonts w:ascii="Arial" w:hAnsi="Arial" w:cs="Arial"/>
          <w:b/>
          <w:sz w:val="20"/>
          <w:szCs w:val="20"/>
        </w:rPr>
      </w:pPr>
      <w:r w:rsidRPr="00AC709F">
        <w:rPr>
          <w:rFonts w:ascii="Arial" w:hAnsi="Arial" w:cs="Arial"/>
          <w:sz w:val="20"/>
          <w:szCs w:val="20"/>
        </w:rPr>
        <w:t xml:space="preserve">V rámci projektu sme zahrnuli činností v rámci </w:t>
      </w:r>
      <w:r w:rsidRPr="00AC709F">
        <w:rPr>
          <w:rFonts w:ascii="Arial" w:hAnsi="Arial" w:cs="Arial"/>
          <w:b/>
          <w:sz w:val="20"/>
          <w:szCs w:val="20"/>
        </w:rPr>
        <w:t xml:space="preserve">revitalizácie a obnovy lesných spoločenstiev </w:t>
      </w:r>
      <w:r w:rsidRPr="00AC709F">
        <w:rPr>
          <w:rFonts w:ascii="Arial" w:hAnsi="Arial" w:cs="Arial"/>
          <w:sz w:val="20"/>
          <w:szCs w:val="20"/>
        </w:rPr>
        <w:t xml:space="preserve">(vrátane obnovy lesných porastov, ochrany, ošetrovania a výchovy lesov) </w:t>
      </w:r>
      <w:r w:rsidRPr="00AC709F">
        <w:rPr>
          <w:rFonts w:ascii="Arial" w:hAnsi="Arial" w:cs="Arial"/>
          <w:b/>
          <w:sz w:val="20"/>
          <w:szCs w:val="20"/>
        </w:rPr>
        <w:t>v hospodárskych a ochranných lesoch</w:t>
      </w:r>
      <w:r>
        <w:rPr>
          <w:rFonts w:ascii="Arial" w:hAnsi="Arial" w:cs="Arial"/>
          <w:b/>
          <w:sz w:val="20"/>
          <w:szCs w:val="20"/>
        </w:rPr>
        <w:t>.</w:t>
      </w:r>
    </w:p>
    <w:p w:rsidR="00796C74" w:rsidRPr="00AC709F" w:rsidRDefault="00796C74" w:rsidP="00796C74">
      <w:pPr>
        <w:jc w:val="both"/>
        <w:rPr>
          <w:rFonts w:ascii="Arial" w:hAnsi="Arial" w:cs="Arial"/>
          <w:b/>
          <w:sz w:val="20"/>
          <w:szCs w:val="20"/>
        </w:rPr>
      </w:pPr>
      <w:r w:rsidRPr="00AC709F">
        <w:rPr>
          <w:rFonts w:ascii="Arial" w:hAnsi="Arial" w:cs="Arial"/>
          <w:b/>
          <w:sz w:val="20"/>
          <w:szCs w:val="20"/>
        </w:rPr>
        <w:t>Medzi opatrenia, ktoré zlepšia životaschopnosť a zabezpečia revitalizáciu plôch po náhodných ťažbách (vietor a lykožrút smrekový) sme zaradili tieto lesnícke opatrenia:</w:t>
      </w:r>
    </w:p>
    <w:p w:rsidR="00796C74" w:rsidRPr="00AC709F" w:rsidRDefault="00796C74" w:rsidP="00796C74">
      <w:pPr>
        <w:pStyle w:val="Bezriadkovania"/>
        <w:tabs>
          <w:tab w:val="left" w:pos="9781"/>
        </w:tabs>
        <w:ind w:left="0" w:right="-58"/>
        <w:jc w:val="both"/>
        <w:rPr>
          <w:rFonts w:ascii="Arial" w:hAnsi="Arial" w:cs="Arial"/>
          <w:sz w:val="20"/>
          <w:szCs w:val="20"/>
        </w:rPr>
      </w:pPr>
      <w:r w:rsidRPr="00AC709F">
        <w:rPr>
          <w:rFonts w:ascii="Arial" w:hAnsi="Arial" w:cs="Arial"/>
          <w:sz w:val="20"/>
          <w:szCs w:val="20"/>
        </w:rPr>
        <w:t>- príprava plôch na obnovu lesa uhadzovaním haluziny po ťažbe náhodnej bez pálenia,</w:t>
      </w:r>
    </w:p>
    <w:p w:rsidR="00796C74" w:rsidRPr="00AC709F" w:rsidRDefault="00796C74" w:rsidP="00796C74">
      <w:pPr>
        <w:pStyle w:val="Bezriadkovania"/>
        <w:ind w:left="0" w:right="-58"/>
        <w:jc w:val="both"/>
        <w:rPr>
          <w:rFonts w:ascii="Arial" w:hAnsi="Arial" w:cs="Arial"/>
          <w:sz w:val="20"/>
          <w:szCs w:val="20"/>
        </w:rPr>
      </w:pPr>
      <w:r w:rsidRPr="00AC709F">
        <w:rPr>
          <w:rFonts w:ascii="Arial" w:hAnsi="Arial" w:cs="Arial"/>
          <w:sz w:val="20"/>
          <w:szCs w:val="20"/>
        </w:rPr>
        <w:t>- zalesňovanie sadbou,</w:t>
      </w:r>
    </w:p>
    <w:p w:rsidR="00796C74" w:rsidRPr="00AC709F" w:rsidRDefault="00796C74" w:rsidP="00796C74">
      <w:pPr>
        <w:pStyle w:val="Bezriadkovania"/>
        <w:ind w:left="0" w:right="-58"/>
        <w:jc w:val="both"/>
        <w:rPr>
          <w:rFonts w:ascii="Arial" w:hAnsi="Arial" w:cs="Arial"/>
          <w:sz w:val="20"/>
          <w:szCs w:val="20"/>
        </w:rPr>
      </w:pPr>
      <w:r w:rsidRPr="00AC709F">
        <w:rPr>
          <w:rFonts w:ascii="Arial" w:hAnsi="Arial" w:cs="Arial"/>
          <w:sz w:val="20"/>
          <w:szCs w:val="20"/>
        </w:rPr>
        <w:t>- ochrana kultúr proti burine a nežiaducej vegetácií - vyžínaním,</w:t>
      </w:r>
    </w:p>
    <w:p w:rsidR="00796C74" w:rsidRPr="00AC709F" w:rsidRDefault="00796C74" w:rsidP="00796C74">
      <w:pPr>
        <w:pStyle w:val="Bezriadkovania"/>
        <w:ind w:left="0" w:right="-58"/>
        <w:jc w:val="both"/>
        <w:rPr>
          <w:rFonts w:ascii="Arial" w:hAnsi="Arial" w:cs="Arial"/>
          <w:sz w:val="20"/>
          <w:szCs w:val="20"/>
        </w:rPr>
      </w:pPr>
      <w:r w:rsidRPr="00AC709F">
        <w:rPr>
          <w:rFonts w:ascii="Arial" w:hAnsi="Arial" w:cs="Arial"/>
          <w:sz w:val="20"/>
          <w:szCs w:val="20"/>
        </w:rPr>
        <w:t>- ochrana kultúr proti poškodzovaniu zverou – náterom repelentom</w:t>
      </w:r>
    </w:p>
    <w:p w:rsidR="00796C74" w:rsidRPr="00656A94" w:rsidRDefault="00796C74" w:rsidP="00796C74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C709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výchova lesných porastov – prerezávky, výsek krov, odstraňovanie zbytkov po snehovej kalamite</w:t>
      </w:r>
    </w:p>
    <w:p w:rsidR="00796C74" w:rsidRPr="00CD4645" w:rsidRDefault="00CD4645">
      <w:pPr>
        <w:rPr>
          <w:b/>
        </w:rPr>
      </w:pPr>
      <w:r w:rsidRPr="00CD4645">
        <w:rPr>
          <w:b/>
        </w:rPr>
        <w:lastRenderedPageBreak/>
        <w:t>Umiestnenie zmluvy o NFP:</w:t>
      </w:r>
    </w:p>
    <w:p w:rsidR="00796C74" w:rsidRPr="00796C74" w:rsidRDefault="00784D7D">
      <w:pPr>
        <w:rPr>
          <w:rFonts w:ascii="Arial" w:hAnsi="Arial" w:cs="Arial"/>
        </w:rPr>
      </w:pPr>
      <w:hyperlink r:id="rId7" w:history="1">
        <w:r w:rsidR="00796C74" w:rsidRPr="00796C74">
          <w:rPr>
            <w:rStyle w:val="Hypertextovprepojenie"/>
            <w:rFonts w:ascii="Arial" w:hAnsi="Arial" w:cs="Arial"/>
          </w:rPr>
          <w:t>http://www.crz.gov.sk/index.php?ID=2389722&amp;l=sk</w:t>
        </w:r>
      </w:hyperlink>
    </w:p>
    <w:p w:rsidR="00796C74" w:rsidRPr="00796C74" w:rsidRDefault="00796C74">
      <w:pPr>
        <w:rPr>
          <w:rFonts w:ascii="Arial" w:hAnsi="Arial" w:cs="Arial"/>
        </w:rPr>
      </w:pPr>
    </w:p>
    <w:p w:rsidR="00796C74" w:rsidRPr="00796C74" w:rsidRDefault="00796C74">
      <w:pPr>
        <w:rPr>
          <w:rFonts w:ascii="Arial" w:hAnsi="Arial" w:cs="Arial"/>
          <w:b/>
        </w:rPr>
      </w:pPr>
      <w:r w:rsidRPr="00796C74">
        <w:rPr>
          <w:rFonts w:ascii="Arial" w:hAnsi="Arial" w:cs="Arial"/>
          <w:b/>
        </w:rPr>
        <w:t>Logo EÚ</w:t>
      </w:r>
      <w:r w:rsidR="00CD4645">
        <w:rPr>
          <w:rFonts w:ascii="Arial" w:hAnsi="Arial" w:cs="Arial"/>
          <w:b/>
        </w:rPr>
        <w:t>:</w:t>
      </w:r>
    </w:p>
    <w:p w:rsidR="00796C74" w:rsidRDefault="00CD4645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k-SK"/>
        </w:rPr>
        <w:drawing>
          <wp:inline distT="0" distB="0" distL="0" distR="0" wp14:anchorId="45C65300" wp14:editId="08501213">
            <wp:extent cx="1321806" cy="845244"/>
            <wp:effectExtent l="0" t="0" r="0" b="0"/>
            <wp:docPr id="1" name="Obrázok 1" descr="http://demoware.eu/en/intranet/administrative/communication/logos/eu-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moware.eu/en/intranet/administrative/communication/logos/eu-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749" cy="85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C74" w:rsidRPr="00796C74" w:rsidRDefault="00796C74">
      <w:pPr>
        <w:rPr>
          <w:rFonts w:ascii="Arial" w:hAnsi="Arial" w:cs="Arial"/>
          <w:b/>
        </w:rPr>
      </w:pPr>
      <w:r w:rsidRPr="00796C74">
        <w:rPr>
          <w:rFonts w:ascii="Arial" w:hAnsi="Arial" w:cs="Arial"/>
          <w:b/>
        </w:rPr>
        <w:t>Slogan:</w:t>
      </w:r>
    </w:p>
    <w:p w:rsidR="00796C74" w:rsidRPr="00796C74" w:rsidRDefault="00796C74">
      <w:pPr>
        <w:rPr>
          <w:rFonts w:ascii="Arial" w:hAnsi="Arial" w:cs="Arial"/>
          <w:b/>
        </w:rPr>
      </w:pPr>
      <w:r w:rsidRPr="00796C74">
        <w:rPr>
          <w:rFonts w:ascii="Arial" w:hAnsi="Arial" w:cs="Arial"/>
          <w:b/>
        </w:rPr>
        <w:t>„Európsky poľnohospodársky fond pre rozvoj vidieka: Európa investuje do vidieckych oblastí.“</w:t>
      </w:r>
    </w:p>
    <w:p w:rsidR="00796C74" w:rsidRDefault="00796C74"/>
    <w:sectPr w:rsidR="0079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7D" w:rsidRDefault="00784D7D" w:rsidP="00796C74">
      <w:pPr>
        <w:spacing w:after="0" w:line="240" w:lineRule="auto"/>
      </w:pPr>
      <w:r>
        <w:separator/>
      </w:r>
    </w:p>
  </w:endnote>
  <w:endnote w:type="continuationSeparator" w:id="0">
    <w:p w:rsidR="00784D7D" w:rsidRDefault="00784D7D" w:rsidP="0079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7D" w:rsidRDefault="00784D7D" w:rsidP="00796C74">
      <w:pPr>
        <w:spacing w:after="0" w:line="240" w:lineRule="auto"/>
      </w:pPr>
      <w:r>
        <w:separator/>
      </w:r>
    </w:p>
  </w:footnote>
  <w:footnote w:type="continuationSeparator" w:id="0">
    <w:p w:rsidR="00784D7D" w:rsidRDefault="00784D7D" w:rsidP="0079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23DD"/>
    <w:multiLevelType w:val="hybridMultilevel"/>
    <w:tmpl w:val="FC1A31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74"/>
    <w:rsid w:val="00784D7D"/>
    <w:rsid w:val="00796C74"/>
    <w:rsid w:val="007C5BC9"/>
    <w:rsid w:val="00CA25AD"/>
    <w:rsid w:val="00C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3162C-005B-4883-A3EB-2F9FB449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96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96C7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96C7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96C74"/>
    <w:rPr>
      <w:vertAlign w:val="superscript"/>
    </w:rPr>
  </w:style>
  <w:style w:type="paragraph" w:styleId="Bezriadkovania">
    <w:name w:val="No Spacing"/>
    <w:uiPriority w:val="1"/>
    <w:qFormat/>
    <w:rsid w:val="00796C74"/>
    <w:pPr>
      <w:spacing w:after="0" w:line="240" w:lineRule="auto"/>
      <w:ind w:left="737" w:right="737"/>
    </w:pPr>
  </w:style>
  <w:style w:type="character" w:styleId="Hypertextovprepojenie">
    <w:name w:val="Hyperlink"/>
    <w:basedOn w:val="Predvolenpsmoodseku"/>
    <w:uiPriority w:val="99"/>
    <w:unhideWhenUsed/>
    <w:rsid w:val="00796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k/url?sa=i&amp;rct=j&amp;q=&amp;esrc=s&amp;source=images&amp;cd=&amp;cad=rja&amp;uact=8&amp;ved=0ahUKEwimrLzXrc_NAhWB1hoKHQEICqYQjRwIBw&amp;url=http://demoware.eu/en/intranet/administrative/communication/logos/eu-logo/view&amp;psig=AFQjCNGKxW8rOHeJB7Q0wys3d2kgL1q0UQ&amp;ust=1467362556535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z.gov.sk/index.php?ID=2389722&amp;l=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Marian Mika</cp:lastModifiedBy>
  <cp:revision>3</cp:revision>
  <dcterms:created xsi:type="dcterms:W3CDTF">2016-06-30T08:26:00Z</dcterms:created>
  <dcterms:modified xsi:type="dcterms:W3CDTF">2016-10-11T19:25:00Z</dcterms:modified>
</cp:coreProperties>
</file>